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https://www.cnmc.es/expedientes/c099218</w:t>
      </w:r>
    </w:p>
    <w:p>
      <w:r>
        <w:t>Pages translated : 1</w:t>
      </w:r>
    </w:p>
    <w:p/>
    <w:p>
      <w:r>
        <w:rPr>
          <w:b/>
        </w:rPr>
        <w:t>[Pages 1–1]</w:t>
      </w:r>
    </w:p>
    <w:p>
      <w:r>
        <w:t>RESOLUTION</w:t>
        <w:br/>
        <w:t>File No. C/0992/18 PRIMEROSALUD/HOSPITAL DE TORREJÓN</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19, 2018</w:t>
        <w:br/>
        <w:t xml:space="preserve">The Competition Chamber has analyzed the merger file processed in accordance with Law 15/2007, of July 3, on the Defense of Competition, notification consisting of the acquisition by PrimeroSalud, S.L.U. (hereinafter, PRIMEROSALUD) of Torrejón Salud, S.A. (hereinafter, HOSPITAL DE TORREJÓN). In accordance with the report and proposal submitted by the Competition Directorate, the Competition Chamber has resolved, in application of Article 57.2.a) of the aforementioned Law 15/2007, of July 3, to authorize the aforementioned merger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