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https://www.cnmc.es/expedientes/c099418</w:t>
      </w:r>
    </w:p>
    <w:p>
      <w:r>
        <w:t>Pages translated : 2</w:t>
      </w:r>
    </w:p>
    <w:p/>
    <w:p>
      <w:r>
        <w:rPr>
          <w:b/>
        </w:rPr>
        <w:t>[Pages 1–2]</w:t>
      </w:r>
    </w:p>
    <w:p>
      <w:r>
        <w:t>RESOLUTION</w:t>
        <w:br/>
        <w:t>Case File C/0994/18 MOLY-COP/METSO SPAIN HOLDING S.L.U</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13, 2018</w:t>
        <w:br/>
        <w:t>The Competition Chamber has analyzed the merger file processed in accordance with Law 15/2007, of July 3, on the Defense of Competition, notification consisting of the acquisition by the company AMERICAN INDUSTRY PARTNERS MC HOLDINGS LLC (MOLY-COP), through an Australian company wholly owned by it, GRINDING MEDIA PTY LTD, of the exclusive control of METSO SPAIN HOLDING, S.L.U, the head company in Spain of companies dedicated to the manufacture and marketing of grinding media (metallic and non-metallic balls and bars) used in mining activities and in the thermal generation and construction sectors. In accordance with the report and proposal submitted by the Directorate of Competition, the Competition Chamber has resolved, applying Article 57.2.a) of the aforementioned Law 15/2007, of July 3, to authorize the aforementioned merger operation.</w:t>
        <w:br/>
        <w:t>Furthermore, it is appropriate to analyze the operation taking into account the Communication from the European Commission on restrictions directly linked to the execution of a merger and necessary for that purpose (2005/C 56/03) and the practice of national competition authorities. In this regard, this Chamber considers that the second exception to the non-competition clause contained in the purchase agreement (clause 7.3.a) point (ii)), by which the , cannot be considered to be part of said ancillary restriction and, therefore, is neither directly linked nor necessary for that purpose, remaining said restriction subject to the regulations on agreements between companies. Likewise, the Chamber considers that the duration of the aforementioned non-competition clause, insofar as it exceeds two years, is neither considered ancillary nor necessary for the operation and, therefore, remains subject to the regulations on agreements between companies. All of this in accordance with what is indicated in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