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https://www.cnmc.es/expedientes/c099518</w:t>
      </w:r>
    </w:p>
    <w:p>
      <w:r>
        <w:t>Pages translated : 1</w:t>
      </w:r>
    </w:p>
    <w:p/>
    <w:p>
      <w:r>
        <w:rPr>
          <w:b/>
        </w:rPr>
        <w:t>[Pages 1–1]</w:t>
      </w:r>
    </w:p>
    <w:p>
      <w:r>
        <w:t>RESOLUTION</w:t>
        <w:br/>
        <w:t>File No. C/0995/18 CARMILA / CARREFOUR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2018</w:t>
        <w:br/>
        <w:t>The Competition Chamber has analyzed the concentration file processed in accordance with Law 15/2007, of July 3, on the Defense of Competition, notification consisting of the acquisition of exclusive control by CARMILA S.A. (CARMILA), of a series of real estate assets belonging to CARREFOUR PROPERTY ESPAÑA, S.L.U. and one belonging to CARREFOUR NORTE, S.L.U., both companies belonging to the Carrefour Group (CARREFOUR). According to the report and the proposal submitted by the Directorate of Competition, the Competition Chamber has resolved, in application of Article 57.2.a) of the aforementioned Law 15/2007, of July 3, to authorize the aforementioned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