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https://www.cnmc.es/expedientes/c099618</w:t>
      </w:r>
    </w:p>
    <w:p>
      <w:r>
        <w:t>Pages translated : 2</w:t>
      </w:r>
    </w:p>
    <w:p/>
    <w:p>
      <w:r>
        <w:rPr>
          <w:b/>
        </w:rPr>
        <w:t>[Pages 1–2]</w:t>
      </w:r>
    </w:p>
    <w:p>
      <w:r>
        <w:t>RESOLUTION</w:t>
        <w:br/>
        <w:t>File No. C/0996/18 MCH/LITALSA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19, 2018</w:t>
        <w:br/>
        <w:t>The Competition Chamber has analyzed the concentration file processed in accordance with Law 15/2007, of July 3, on the Defense of Competition, notification consisting of the acquisition by the investment fund MCH IBERIAN CAPITAL FUND IV F.C.R. (hereinafter, MCH IV or the Acquirer) of the exclusive control of the shares of GLOBAL LITVAR, S.L. (hereinafter, GLOBAL) and therefore, indirectly, of all the shares of LITOGRAFÍA ALAVESA, S.L.U. (hereinafter, LITALSA). According to the report and proposal submitted by the Competition Directorate, the Competition Chamber has resolved, in application of Article 57.2.a) of the aforementioned Law 15/2007, of July 3, to authorize the aforementioned concentration operation.</w:t>
        <w:br/>
        <w:t>Furthermore,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the following are not deemed ancillary or necessary restrictions for the concentration operation, and are therefore subject to the general regulations applicable to agreements between companies: (i) the non-compete and non-solicitation clauses (clauses 8.1, letters a, b, and c of the purchase agreement) insofar as they impose restrictions on the selling partners in relation to companies other than the acquired business (GLOBAL and LITALSA); (ii) the non-compete clauses (clauses 8.1.c and 8.1.b) as they affect markets in which the acquired business was not present prior to this concentration operation and to the extent that they prohibit the sellers from acquiring or holding shares in competing companies for purely financial investment purposes. All of this in accordance with the indications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