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https://www.cnmc.es/expedientes/c099718</w:t>
      </w:r>
    </w:p>
    <w:p>
      <w:r>
        <w:t>Pages translated : 1</w:t>
      </w:r>
    </w:p>
    <w:p/>
    <w:p>
      <w:r>
        <w:rPr>
          <w:b/>
        </w:rPr>
        <w:t>[Pages 1–1]</w:t>
      </w:r>
    </w:p>
    <w:p>
      <w:r>
        <w:t>RESOLUTION</w:t>
        <w:br/>
        <w:t>Case File C/0997/18 BP AMERICA / ARCLIGHT/THORNTONS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January 9, 2019</w:t>
        <w:br/>
        <w:t xml:space="preserve">The Competition Chamber has analyzed the merger case file processed in accordance with Law 15/2007, of July 3, on the Defense of Competition, notification consisting of the acquisition by BP America Inc. (BP AMERICA) and ArcLight Capital Partners, LLC (ARCLIGHT) of joint control over Thorntons Inc. (THORNTONS), a company based and operating in the United States, through TLK Holding Company, LLC (TLK), a newly established limited liability company incorporated under the laws of the State of Delaware and jointly controlled by BP America and ARCLIGHT. In accordance with the report and proposal submitted by the Directorate of Competition, the Competition Chamber has resolved, pursuant to Article 57.2.a) of the aforementioned Law 15/2007, of July 3, to authorize the aforementioned merger operation. </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