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https://www.cnmc.es/expedientes/c099818</w:t>
      </w:r>
    </w:p>
    <w:p>
      <w:r>
        <w:t>Pages translated : 2</w:t>
      </w:r>
    </w:p>
    <w:p/>
    <w:p>
      <w:r>
        <w:rPr>
          <w:b/>
        </w:rPr>
        <w:t>[Pages 1–2]</w:t>
      </w:r>
    </w:p>
    <w:p>
      <w:r>
        <w:t>RESOLUTION</w:t>
        <w:br/>
        <w:t>File No. C/0998/18 EUROWAG/ARRAIA OIL PORTUGALIA AND OTHER COMPANIES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January 17, 2019</w:t>
        <w:br/>
        <w:t>The Competition Chamber has analyzed the concentration file processed in accordance with Law 15/2007, of July 3, on the Defense of Competition, notification consisting of the acquisition by W.A.G. PAYMENT SOLUTIONS, A.S. (hereinafter, EUROWAG), through a newly created company whose corporate name is W.A.G. MOBILITY SOLUTIONS IBERIA, S.L.U., of the exclusive control of the TARGET companies, which will be encompassed within ARTERANUE, S.L., created in August 2018. In accordance with the report and proposal submitted by the Competition Directorate, the Competition Chamber has resolved, applying Article 57.2.a) of the aforementioned Law 15/2007, of July 3, to authorize the aforementioned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the duration of the non-compete clauses, including the one related to ESTUDIOS ELROSA S.L., and of non-solicitation, to the extent that it exceeds the two years established in the Communication from the closing of the present operation, is not considered ancillary or necessary for the notified operation. Likewise, anything that extends beyond what is established in the Communication regarding its geographical scope and protected services or products (the transferred business and geographical areas where the acquired company was present, or where it was known to have planned to enter at the time of the transaction) is also not considered ancillary or necessary for the notified operation. Therefore, in such respects, the aforementioned clauses are subject to the general regulations applicable to agreements between companies under Article 1 of Law 15/2007, of July 3, on the Defense of Competition. All of this in accordance with what is indicated in the aforementioned report proposal from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