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https://www.cnmc.es/expedientes/c100018</w:t>
      </w:r>
    </w:p>
    <w:p>
      <w:r>
        <w:t>Pages translated : 2</w:t>
      </w:r>
    </w:p>
    <w:p/>
    <w:p>
      <w:r>
        <w:rPr>
          <w:b/>
        </w:rPr>
        <w:t>[Pages 1–2]</w:t>
      </w:r>
    </w:p>
    <w:p>
      <w:r>
        <w:t>RESOLUTION</w:t>
        <w:br/>
        <w:t>File No. C/1000/18 ACCIONA/OFL/ILSA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24, 2019</w:t>
        <w:br/>
        <w:t xml:space="preserve">The Competition Chamber has analyzed the concentration file processed in accordance with Law 15/2007, of July 3, on the Defense of Competition, notification regarding the transfer by OPERADOR FERROVIARIO DE LEVANTE, S.L. (OFL) of 74.99% of the share capital of INTERMODALIDAD DE LEVANTE, S.A (ILSA) to ACCIONA HSR SERVICES, S.L. (ACCIONA), with OFL maintaining a 25.01% stake. As a result of ACCIONA's entry into the share capital of ILSA, this railway operator, which until now was solely controlled by OFL, will be jointly controlled by ACCIONA and OFL. In accordance with the report and proposal submitted by the Directorate of Competition, the Competition Chamber has resolved, under the application of Article 57.2.a) of the aforementioned Law 15/2007, of July 3, to authorize the aforementioned concentration operation. </w:t>
        <w:br/>
        <w:t>Furthermore,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that, in the present case, as it pertains to Spain, the non-competition and confidentiality agreements would only be ancillary to the operation insofar as they do not exceed the duration of the Framework Agreement and would be subject, if applicable, to the regulations on agreements between companies to the extent that they exceed that temporal limit.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