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https://www.cnmc.es/expedientes/c100219</w:t>
      </w:r>
    </w:p>
    <w:p>
      <w:r>
        <w:t>Pages translated : 2</w:t>
      </w:r>
    </w:p>
    <w:p/>
    <w:p>
      <w:r>
        <w:rPr>
          <w:b/>
        </w:rPr>
        <w:t>[Pages 1–2]</w:t>
      </w:r>
    </w:p>
    <w:p>
      <w:r>
        <w:t>RESOLUTION</w:t>
        <w:br/>
        <w:t>File No. C/1002/19 KINEPOLIS / CINES EL PUNT AND CINES LLOBREGAT</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January 24, 2019</w:t>
        <w:br/>
        <w:t>The Competition Chamber has analyzed the concentration file processed in accordance with Law 15/2007, of July 3, on the Defense of Competition, notification consisting of the acquisition by KINEPOLIS ESPAÑA, S.A. (KINEPOLIS) of exclusive control of Cines El Punt, S.A (CINES EL PUNT) and Cines Llobregat, S.L. (CINES LLOBREGAT) through the purchase of 100% of their shares and social participations, respectively. In accordance with the report and proposal submitted by the Competition Directorate, the Competition Chamber has resolved, applying Article 57.2.a) of the aforementioned Law 15/2007, of July 3, to authorize the aforementioned concentration operation.</w:t>
        <w:br/>
        <w:t>Likewise, it is necessary to analyze the operation taking into account the Communication from the European Commission on restrictions directly linked to the execution of a concentration and necessary for that purpose (2005/C 56/03) and the practice of national competition authorities. In this regard, this Chamber considers that non-solicitation and non-competition agreements exceeding a duration of two years are not considered as ancillary and necessary restrictions for the operation, and therefore would be subject to the regulations on agreements between companies to the extent that they exceed that time limit.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