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https://www.cnmc.es/expedientes/c100519</w:t>
      </w:r>
    </w:p>
    <w:p>
      <w:r>
        <w:t>Pages translated : 1</w:t>
      </w:r>
    </w:p>
    <w:p/>
    <w:p>
      <w:r>
        <w:rPr>
          <w:b/>
        </w:rPr>
        <w:t>[Pages 1–1]</w:t>
      </w:r>
    </w:p>
    <w:p>
      <w:r>
        <w:t>RESOLUTION</w:t>
        <w:br/>
        <w:t>File No. C/1005/19 URBASER/CORPORACIÓ GRIÑÓ</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March 14, 2019</w:t>
        <w:br/>
        <w:t>The Competition Chamber has analyzed the concentration file processed in accordance with Law 15/2007, of July 3, on the Defense of Competition, notification consisting of the creation of the joint venture LESTACA PROYECTOS S.L. by URBASER, S.A. (URBASER) and CORPORACIÓ GRIÑÓ, S.L. (CORPORACIÓ GRIÑÓ) for the construction and operation of the non-hazardous industrial waste treatment plant in Riba-Roja d’Ebre (Tarragona), which has given rise to file C/1005/19. In accordance with the report and proposal submitted by the Directorate of Competition, the Competition Chamber has resolved, applying Article 57.2.a) of the aforementioned Law 15/2007, of July 3, to authorize the aforementioned concentration operation.</w:t>
        <w:b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