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https://www.cnmc.es/expedientes/c100619</w:t>
      </w:r>
    </w:p>
    <w:p>
      <w:r>
        <w:t>Pages translated : 2</w:t>
      </w:r>
    </w:p>
    <w:p/>
    <w:p>
      <w:r>
        <w:rPr>
          <w:b/>
        </w:rPr>
        <w:t>[Pages 1–2]</w:t>
      </w:r>
    </w:p>
    <w:p>
      <w:r>
        <w:t>RESOLUTION</w:t>
        <w:br/>
        <w:t>File No. C/1006/19 ALANTRA/FRÍAS DE PONFERRADA/FRÍAS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February 14, 2019</w:t>
        <w:br/>
        <w:t>The Competition Chamber has analyzed the concentration file processed in accordance with Law 15/2007, of July 3, on the Defense of Competition, notification consisting of the transition from exclusive control by FRÍAS DE PONFERRADA, S.L. (FRÍAS DE PONFERRADA) over FRÍAS NUTRICIÓN, S.A. (FRÍAS) to joint control of the same by FRÍAS DE PONFERRADA and ALANTRA CAPITAL PRIVADO S.G.E.I.C., S.A. (ALANTRA), through the newly created company THERMIN EUROPE, S.L. (THERMIN). According to the report and proposal submitted by the Competition Directorate, the Competition Chamber has resolved, in application of Article 57.2.a) of the aforementioned Law 15/2007, of July 3, to authorize the aforementioned concentration operation.</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firstly, concerning the content of the non-compete clause, this Chamber considers that any limitation that prevents investments in listed companies that do not represent a significant stake in such companies for exclusively financial investment purposes, or anything that exceeds the scope of products and services of FRÍAS and the geographical area in which the parent companies were present, goes beyond what is reasonable for the achievement of the operation, thus being subject to the regulations on agreements between companies under Article 1 LDC. Secondly, regarding the duration of the non-compete, non-solicitation, and confidentiality clauses, to the extent that they exceed the duration of the joint venture itself, this Chamber considers that they are not directly linked to the achievement of the concentration nor are they necessary for that purpose, thus being subject to the regulations on agreements between companies under Article 1 LDC. Thirdly, this Chamber assesses the commitment of permanence and exclusivity affecting the executive Family Members in the same terms as the non-compete clause, so that anything that exceeds the duration of the joint venture itself or the considered product and geographical scope is not understood as directly linked to the execution of the concentration nor necessary for that purpose, remaining subject to the current labor and commercial regulations.</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