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https://www.cnmc.es/expedientes/c100719</w:t>
      </w:r>
    </w:p>
    <w:p>
      <w:r>
        <w:t>Pages translated : 2</w:t>
      </w:r>
    </w:p>
    <w:p/>
    <w:p>
      <w:r>
        <w:rPr>
          <w:b/>
        </w:rPr>
        <w:t>[Pages 1–2]</w:t>
      </w:r>
    </w:p>
    <w:p>
      <w:r>
        <w:t>RESOLUTION</w:t>
        <w:br/>
        <w:t>File No. C/01007/19 PERMIRA/UNIVERSIDAD EUROPEA DE MADRID/</w:t>
        <w:br/>
        <w:t>UNIVERSIDAD EUROPEA DE CANARIAS/UNIVERSIDAD EUROPEA DE</w:t>
        <w:br/>
        <w:t>VALENCIA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February 28, 2019</w:t>
        <w:br/>
        <w:t>The Competition Chamber has analyzed the concentration file processed in accordance with Law 15/2007, of July 3, on the Defense of Competition, notification consisting of the acquisition of exclusive control of Universidad Europea de Madrid, S.L.U, Universidad Europea de Canarias, S.L.U. and Universidad Europea de Valencia, S.L.U. by an investment fund managed by PERMIRA HOLDINGS LIMITED (“PERMIRA”), through the acquisition of 100% of their respective share capital. According to the report and proposal submitted by the Competition Directorate, the Competition Chamber has resolved, in application of Article 57.2.a) of the aforementioned Law 15/2007, of July 3, to authorize the said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the limitation imposed on the seller of being the holder of more than 5% of a listed company, included in the non-competition agreement, goes beyond what is reasonably required by the notified concentration operation, not being considered ancillary to the operation nor understood as authorized with it. All of this in accordance with what is indicated in paragraph (15) of the aforementioned report proposal from the Competition Directorate.</w:t>
        <w:br/>
        <w:t>1 The operation also includes the acquisition of two Spanish entities without activity (Iniciativas Educativas de Mallorca, S.L.U, and Iniciativas Educativas UEA, S.L.U) and of Ensilis-Educação e Formação, Unipessoal, Lda, active exclusively in Portugal.</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