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https://www.cnmc.es/expedientes/c100819</w:t>
      </w:r>
    </w:p>
    <w:p>
      <w:r>
        <w:t>Pages translated : 2</w:t>
      </w:r>
    </w:p>
    <w:p/>
    <w:p>
      <w:r>
        <w:rPr>
          <w:b/>
        </w:rPr>
        <w:t>[Pages 1–2]</w:t>
      </w:r>
    </w:p>
    <w:p>
      <w:r>
        <w:t>RESOLUTION</w:t>
        <w:br/>
        <w:t>File No. C/01008/19 INVESTINDUSTRIAL/GINEFIV</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7, 2019</w:t>
        <w:br/>
        <w:t>The Competition Chamber has analyzed the merger file processed in accordance with Law 15/2007, of July 3, on the Defense of Competition, notification consisting of the acquisition of exclusive control of GINEFIV, S.L. by an investment fund managed by INVESTINDUSTRIAL ADVISORS LTD (“INVESTINDUSTRIAL”), through the acquisition of 100% of its share capital. In accordance with the report and proposal submitted by the Competition Directorate, the Competition Chamber has resolved, applying Article 57.2.a) of the aforementioned Law 15/2007, of July 3, to authorize the said merger operation.</w:t>
        <w:br/>
        <w:t>Furthermore, it is appropriate to analyze the operation taking into account the Communication from the European Commission on restrictions directly linked to the execution of a merger and necessary for that purpose (2005/C 56/03) and the practice of national competition authorities. In this regard, this Chamber considers, in general terms, that non-competition and non-solicitation agreements are ancillary to the merger operation. However, regarding the geographical scope of such agreements, anything that exceeds the areas in which the acquired entity had been providing its services, and regarding the objective scope of the non-solicitation clause, anything related to individuals who had provided services in the six months prior to the merger operation, is not considered an integral part of the operation, and therefore remains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