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https://www.cnmc.es/expedientes/c100919</w:t>
      </w:r>
    </w:p>
    <w:p>
      <w:r>
        <w:t>Pages translated : 2</w:t>
      </w:r>
    </w:p>
    <w:p/>
    <w:p>
      <w:r>
        <w:rPr>
          <w:b/>
        </w:rPr>
        <w:t>[Pages 1–2]</w:t>
      </w:r>
    </w:p>
    <w:p>
      <w:r>
        <w:t>RESOLUTION</w:t>
        <w:br/>
        <w:t>Case File C/1009/19 MUTUA MADRILEÑA/ALANTRA/3AXIS/ALANTRA WEALTH MANAGEMENT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7, 2019</w:t>
        <w:br/>
        <w:t>The Competition Chamber has analyzed the concentration file processed in accordance with Law 15/2007, of July 3, on the Defense of Competition, notification consisting of the acquisition by Mutua Madrileña, through Mutuamad Inversiones S.L., a wholly-owned subsidiary, of 50.01% of the share capital of Alantra Agencia de Valores and Alantra SGIIC (jointly, “Alantra Wealth Management”). As a result of the transaction, Mutua Madrileña, Alantra Partners, S.A. (Alantra) and 3AXIS will hold joint control of Alantra Wealth Management. According to the report and proposal submitted by the Competition Directorate, the Competition Chamber has resolved, in application of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temporal scope of the non-competition, non-solicitation, and confidentiality agreements that exceeds the duration of the participating company should be excluded from the operation and, therefore, subject to the regulations on agreements between companies, as well as the objective scope of the non-solicitation clause concerning individuals who have provided their services in the year prior to the concentration operation.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