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https://www.cnmc.es/expedientes/c101019</w:t>
      </w:r>
    </w:p>
    <w:p>
      <w:r>
        <w:t>Pages translated : 1</w:t>
      </w:r>
    </w:p>
    <w:p/>
    <w:p>
      <w:r>
        <w:rPr>
          <w:b/>
        </w:rPr>
        <w:t>[Pages 1–1]</w:t>
      </w:r>
    </w:p>
    <w:p>
      <w:r>
        <w:t>RESOLUTION</w:t>
        <w:br/>
        <w:t>File No. C/1010/19 ELG HANIEL GMBH / IBERINOX RECYCLING PLUS S.L</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7, 2019</w:t>
        <w:br/>
        <w:t xml:space="preserve">The Competition Chamber has analyzed the merger file processed in accordance with Law 15/2007, of July 3, on the Defense of Competition, notification regarding the merger operation consisting of the acquisition by ELG HANIEL GMBH (hereinafter ELG), of exclusive control of IBERINOX RECYCLING PLUS S.L. (hereinafter IRP) through the subsidiary company FINANCIERE GESTION PARTICIPATION, S.A.S. (hereinafter FIGESPA). In accordance with the report and proposal submitted by the Directorate of Competition, the Competition Chamber has resolved, in application of Article 57.2.a) of the aforementioned Law 15/2007, of July 3, to authorize the aforementioned merger operation.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