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https://www.cnmc.es/expedientes/c101119</w:t>
      </w:r>
    </w:p>
    <w:p>
      <w:r>
        <w:t>Pages translated : 2</w:t>
      </w:r>
    </w:p>
    <w:p/>
    <w:p>
      <w:r>
        <w:rPr>
          <w:b/>
        </w:rPr>
        <w:t>[Pages 1–2]</w:t>
      </w:r>
    </w:p>
    <w:p>
      <w:r>
        <w:t>RESOLUTION</w:t>
        <w:br/>
        <w:t>Case File C/1011/19 BANKIA/MAPFRE VIDA/CAJAMURCIA VIDA/CAJAGRANADA VIDA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14, 2019</w:t>
        <w:br/>
        <w:t>The Competition Chamber has analyzed the concentration case file processed in accordance with Law 15/2007, of July 3, on the Defense of Competition, notification consisting of the transition from exclusive control by BANKIA to joint control by MAPFRE VIDA and BANKIA of the entities CAJAMURCIA VIDA and CAJA GRANADA VIDA, through the acquisition by MAPFRE VIDA from BANKIA of the shares representing 51% of the capital of the aforementioned insurance entities. In accordance with the report and proposal submitted by the Competition Directorate, the Competition Chamber has resolved, applying Article 57.2.a) of the aforementioned Law 15/2007, of July 3, to authorize the said concentration operation.</w:t>
        <w:br/>
        <w:t>Likewise, it is appropriate to analyze the operation taking into account the Communication from the European Commission on restrictions directly linked to the execution of a concentration and necessary for that purpose (2005/C 56/03), as well as the resolution of May 22, 20141 to which this case file refers. On that basis, this Chamber does not consider the reciprocal exclusive distribution clauses to be ancillary to the notified concentration operation, remaining subject to the applicable regulations on agreements between companies. All of this in accordance with what is indicated in the aforementioned report proposal from the Competition Directorate.</w:t>
        <w:br/>
        <w:t>1 Case File C/0568/14 Resolution of the CNMC of May 22, 2014</w:t>
      </w:r>
    </w:p>
    <w:p>
      <w:r>
        <w:t>Communicate this Resolution to the Competition Directorate of the National Commission on Markets and Competition and notify the interested party, informing them that this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