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https://www.cnmc.es/expedientes/c101219</w:t>
      </w:r>
    </w:p>
    <w:p>
      <w:r>
        <w:t>Pages translated : 1</w:t>
      </w:r>
    </w:p>
    <w:p/>
    <w:p>
      <w:r>
        <w:rPr>
          <w:b/>
        </w:rPr>
        <w:t>[Pages 1–1]</w:t>
      </w:r>
    </w:p>
    <w:p>
      <w:r>
        <w:t>RESOLUTION</w:t>
        <w:br/>
        <w:t>File No. C/1012/19 PRISA ACTIVOS EDUCATIVOS S.L.U/ GRUPO SANTILLANA EDUCACIÓN GLOBAL</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7, 2019</w:t>
        <w:br/>
        <w:t>The Competition Chamber has analyzed the concentration file processed in accordance with Law 15/2007, of July 3, on the Defense of Competition, notification regarding the transition from joint control to exclusive control of the company GRUPO SANTILLANA EDUCACIÓN GLOBAL by PRISA ACTIVOS EDUCATIVOS, S.L.U (PAE), owned by PROMOTORES DE INFORMACIÓN, S.A. (PRISA) through the acquisition from DLJSAP Publishing Limited (“DLJ”) of the shares representing 25 percent of the share capital of GRUPO SANTILLANA EDUCACIÓN GLOBAL. In accordance with the report and proposal submitted by the Directorate of Competition, the Competition Chamber has resolved, under the application of Article 57.2.a) of the aforementioned Law 15/2007, of July 3, to authorize the aforementioned concentration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