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https://www.cnmc.es/expedientes/c101319</w:t>
      </w:r>
    </w:p>
    <w:p>
      <w:r>
        <w:t>Pages translated : 2</w:t>
      </w:r>
    </w:p>
    <w:p/>
    <w:p>
      <w:r>
        <w:rPr>
          <w:b/>
        </w:rPr>
        <w:t>[Pages 1–2]</w:t>
      </w:r>
    </w:p>
    <w:p>
      <w:r>
        <w:t>RESOLUTION</w:t>
        <w:br/>
        <w:t>File C/1013/19 ABANCA/BCG</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April 16, 2019</w:t>
        <w:br/>
        <w:t>The Competition Chamber has analyzed the concentration file processed in accordance with Law 15/2007, of July 3, on the Defense of Competition, notification consisting of the acquisition of exclusive control of BANCO CAIXA GERAL, S.A. (BCG) by ABANCA CORPORACIÓN BANCARIA, S.A. (ABANCA), through the acquisition of 99.79% of its shares. In accordance with the report and proposal submitted by the Competition Directorate, the Competition Chamber has resolved, in application of Article 57.2.a) of the aforementioned Law 15/2007, of July 3, to authorize the aforementioned concentration operation.</w:t>
        <w:br/>
        <w:t>Likewise, it is appropriate to analyze the operation taking into account the Communication of the European Commission on restrictions directly linked to the execution of a concentration and necessary for that purpose (2005/C 56/03) and the practice of national competition authorities. In this regard, this Chamber considers that the content of the Transitional Agreement for the provision of services annexed to the Sale Contract, both regarding the service provision agreement and the licensing agreement, is reasonable and in accordance with the aforementioned Communication, provided that this transitional period of the temporary provision of services does not exceed, in the first case, 5 years in duration.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