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https://www.cnmc.es/expedientes/c101419</w:t>
      </w:r>
    </w:p>
    <w:p>
      <w:r>
        <w:t>Pages translated : 1</w:t>
      </w:r>
    </w:p>
    <w:p/>
    <w:p>
      <w:r>
        <w:rPr>
          <w:b/>
        </w:rPr>
        <w:t>[Pages 1–1]</w:t>
      </w:r>
    </w:p>
    <w:p>
      <w:r>
        <w:t>RESOLUTION</w:t>
        <w:br/>
        <w:t>File C/1014/19 BSC/BTG</w:t>
        <w:br/>
        <w:t>COMPETITION CHAMBER</w:t>
        <w:br/>
        <w:t>President</w:t>
        <w:br/>
        <w:t>Mr. José María Marín Quemada</w:t>
        <w:br/>
        <w:t>Counselors</w:t>
        <w:br/>
        <w:t>Mr. Josep María Guinart Solà</w:t>
        <w:br/>
        <w:t>Ms. Clotilde de la Higuera González</w:t>
        <w:br/>
        <w:t>Ms. María Pilar Canedo Arrillaga</w:t>
        <w:br/>
        <w:t>Secretary of the Council</w:t>
        <w:br/>
        <w:t>Mr. Joaquim Hortalà i Vallvé</w:t>
        <w:br/>
        <w:t>In Madrid, May 14, 2019</w:t>
        <w:br/>
        <w:t>The Competition Chamber has analyzed the proposal submitted by the Competition Directorate in the concentration file processed in accordance with Law 15/2007, of July 3, on the Defense of Competition. In view of the withdrawal of the authorization requested by the notifier, the Competition Chamber has resolved, in accordance with the proposal submitted by the Competition Directorate and pursuant to articles 44.d) and 57.2.e) of the aforementioned Law 15/2007, of July 3, to file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