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https://www.cnmc.es/expedientes/c101619</w:t>
      </w:r>
    </w:p>
    <w:p>
      <w:r>
        <w:t>Pages translated : 2</w:t>
      </w:r>
    </w:p>
    <w:p/>
    <w:p>
      <w:r>
        <w:rPr>
          <w:b/>
        </w:rPr>
        <w:t>[Pages 1–2]</w:t>
      </w:r>
    </w:p>
    <w:p>
      <w:r>
        <w:t>RESOLUTION</w:t>
        <w:br/>
        <w:t>Case File C/1016/19 GRUPO HERMI/ CUNICARN ESPLUGA ASSETS</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March 28, 2019</w:t>
        <w:br/>
        <w:t>The Competition Chamber has analyzed the concentration case file processed in accordance with Law 15/2007, of July 3, on the Defense of Competition, regarding the notification of the acquisition by CUNIESPLUGA, S.L. (GRUPO HERMI), a company created for the purposes of the operation, of the exclusive control of the productive unit of CUNICARN ALIMENTACIÓ, S.L. (CUNICARN) developed at the Transformation Center located in Tarragona (CUNICARN ASSETS). In accordance with the report and proposal submitted by the Competition Directorate, the Competition Chamber has resolved, pursuant to Article 57.2.a) of the aforementioned Law 15/2007, of July 3, to authorize the said concentration operation.</w:t>
        <w:br/>
        <w:t>Furthermore, it is appropriate to analyze the operation taking into account the Communication from the European Commission on restrictions directly linked to the execution of a concentration and necessary for that purpose (2005/C 56/03) and the practice of national competition authorities. In this regard, concerning purchase obligations, this Chamber considers that, insofar as what is stated in the contract does not include specific amounts, which may be unlimited, anything that goes beyond what is established in the Communication must be considered as unnecessary or ancillary for the achievement of the operation, thus being subject to the regulations on agreements between companies under Article 1 of the LDC. All of this is in accordance with what is indicated in paragraph (34) of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