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https://www.cnmc.es/expedientes/c101719</w:t>
      </w:r>
    </w:p>
    <w:p>
      <w:r>
        <w:t>Pages translated : 1</w:t>
      </w:r>
    </w:p>
    <w:p/>
    <w:p>
      <w:r>
        <w:rPr>
          <w:b/>
        </w:rPr>
        <w:t>[Pages 1–1]</w:t>
      </w:r>
    </w:p>
    <w:p>
      <w:r>
        <w:t>RESOLUTION</w:t>
        <w:br/>
        <w:t>File No. C/1017/19 OPTRUST/ LOMA/ MACQUARIE/ PHOTOVOLTAIC ASSETS I</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28, 2019</w:t>
        <w:br/>
        <w:t>The Competition Chamber has analyzed the concentration file processed in accordance with Law 15/2007, of July 3, on the Defense of Competition, regarding the notification of the acquisition by the Joint-Venture BOM IBERIA ENERGY INVESTMENT PARTNERS S.L. (BOM or the JV) through the instrument BOM SUBCO I S.L. (SUBCO I), a wholly-owned subsidiary of the JV BOM, of […] % of two (2) solar photovoltaic (SPV) electricity generation projects with a total installed capacity of 100 MW developed by the company SOLARPACK S.A. and located in the locality of […] (province of Badajoz). In accordance with the report and proposal submitted by the Competition Directorate, the Competition Chamber has resolved, under the application of Article 57.2.a) of the aforementioned Law 15/2007, of July 3, to authorize the aforementioned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