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https://www.cnmc.es/expedientes/c101919</w:t>
      </w:r>
    </w:p>
    <w:p>
      <w:r>
        <w:t>Pages translated : 1</w:t>
      </w:r>
    </w:p>
    <w:p/>
    <w:p>
      <w:r>
        <w:rPr>
          <w:b/>
        </w:rPr>
        <w:t>[Pages 1–1]</w:t>
      </w:r>
    </w:p>
    <w:p>
      <w:r>
        <w:t>RESOLUTION</w:t>
        <w:br/>
        <w:t>File C/1019/19 NORDIC CAPITAL / SOLVIA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April 2, 2019</w:t>
        <w:br/>
        <w:t xml:space="preserve">The Competition Chamber has analyzed the concentration file processed in accordance with Law 15/2007, of July 3, on the Defense of Competition, notification consisting of the acquisition of exclusive control of Solvia Servicios Inmobiliarios S.L.U. (SOLVIA) by Lindorff Holding Spain, S.L.U. (LINDORFF), ultimately controlled by the investment fund Nordic Capital Limited (NORDIC CAPITAL). In accordance with the report and the proposal submitted by the Directorate of Competition, the Competition Chamber has resolved, under the application of Article 57.2.a) of the aforementioned Law 15/2007, of July 3, to authorize the aforementioned concentration operation. </w:t>
        <w:b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