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https://www.cnmc.es/expedientes/c102019</w:t>
      </w:r>
    </w:p>
    <w:p>
      <w:r>
        <w:t>Pages translated : 2</w:t>
      </w:r>
    </w:p>
    <w:p/>
    <w:p>
      <w:r>
        <w:rPr>
          <w:b/>
        </w:rPr>
        <w:t>[Pages 1–2]</w:t>
      </w:r>
    </w:p>
    <w:p>
      <w:r>
        <w:t>RESOLUTION</w:t>
        <w:br/>
        <w:t>File C/1020/19 RESTEL/HISPASAT</w:t>
        <w:br/>
        <w:t>COMPETITION CHAMBER</w:t>
        <w:br/>
        <w:t>President</w:t>
        <w:br/>
        <w:t>Ms. María Ortiz Aguilar</w:t>
        <w:br/>
        <w:t>Counselors</w:t>
        <w:br/>
        <w:t>Mr. Josep María Guinart Solà</w:t>
        <w:br/>
        <w:t>Ms. Clotilde de la Higuera González</w:t>
        <w:br/>
        <w:t>Ms. María Pilar Canedo Arrillaga</w:t>
        <w:br/>
        <w:t>Secretary of the Council</w:t>
        <w:br/>
        <w:t>Mr. Joaquim Hortalà i Vallvé</w:t>
        <w:br/>
        <w:t>In Madrid, April 10, 2019</w:t>
        <w:br/>
        <w:t>The Competition Chamber has analyzed the merger file processed in accordance with Law 15/2007, of July 3, on the Defense of Competition, notification consisting of the acquisition by Red Eléctrica Sistemas de Telecomunicaciones, S.A. (RESTEL), a subsidiary of Red Eléctrica Corporación, S.A. (REC), of exclusive control of the company Hispasat, S.A. (HISPASAT). In accordance with the report and proposal submitted by the Competition Directorate, the Competition Chamber has resolved, applying Article 57.2.a) of the aforementioned Law 15/2007, of July 3, to authorize the said merger operation.</w:t>
        <w:br/>
        <w:t>Likewise, it is appropriate to analyze the operation taking into account the Communication from the European Commission on restrictions directly linked to the execution of a merger and necessary for that purpose (2005/C 56/03) and the practice of competition authorities. In this regard, the Chamber considers that the non-compete clause, concerning restrictions on the holding or acquisition of shares of the seller for exclusively financial investment purposes that do not confer directly or indirectly management functions or substantial influence in the competing company, is not considered an ancillary and necessary restriction for the operation, and therefore will be subject to the regulations regarding agreements between companies. All of this in accordance with what is indicated in paragraph (27) of the aforementioned report proposal from the Competition Directorate.</w:t>
      </w:r>
    </w:p>
    <w:p>
      <w:r>
        <w:t>This Resolution shall be communicated to the Competition Directorate of the National Commission of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