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https://www.cnmc.es/expedientes/c102119</w:t>
      </w:r>
    </w:p>
    <w:p>
      <w:r>
        <w:t>Pages translated : 2</w:t>
      </w:r>
    </w:p>
    <w:p/>
    <w:p>
      <w:r>
        <w:rPr>
          <w:b/>
        </w:rPr>
        <w:t>[Pages 1–2]</w:t>
      </w:r>
    </w:p>
    <w:p>
      <w:r>
        <w:t>RESOLUTION</w:t>
        <w:br/>
        <w:t>File C/1021/19 CHEQUERS PARTENAIRES/AMBIENTA/PHOENIX</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April 16, 2019</w:t>
        <w:br/>
        <w:t>The Competition Chamber has analyzed the concentration file processed in accordance with Law 15/2007, of July 3, on the Defense of Competition, notification consisting of the change of control over the company PHOENIX INTERNATIONAL S.P.A., which will change from being exclusively controlled by CHEQUERS PARTENAIRES, S.A. to being jointly controlled by CHEQUERS PARTENAIRES and AMBIENTA SGR, S.P.A. This operation will be structured through an investment vehicle (BidCo), which will acquire 100% of the share capital of DIES INVEST B.V. (holding company through which CHEQUERS PARTENAIRES currently has exclusive control of PHOENIX INTERNATIONAL), so that, ultimately, the shares of PHOENIX INTERNATIONAL will be divided among AMBIENTA (approximately 69%), CHEQUERS PARTENAIRES (approximately 22%), and a number of executives of PHOENIX INTERNATIONAL (who after the operation will collectively represent around 9%). In accordance with the report and proposal submitted by the Competition Directorate, the Competition Chamber has resolved, pursuant to Article 57.2.a) of the aforementioned Law 15/2007, of July 3, to authorize the aforementioned concentration operation.</w:t>
        <w:b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regarding the content of the confidentiality clause, that while the scope of the aforementioned clause falls within what is stipulated in the aforementioned Communication, […], to the extent that its duration exceeds […], it would be subject to the regulations on agreements between companies. All of this in accordance with what is indicated in paragraph (19) of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