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https://www.cnmc.es/expedientes/c102219</w:t>
      </w:r>
    </w:p>
    <w:p>
      <w:r>
        <w:t>Pages translated : 1</w:t>
      </w:r>
    </w:p>
    <w:p/>
    <w:p>
      <w:r>
        <w:rPr>
          <w:b/>
        </w:rPr>
        <w:t>[Pages 1–1]</w:t>
      </w:r>
    </w:p>
    <w:p>
      <w:r>
        <w:t>RESOLUTION</w:t>
        <w:br/>
        <w:t>File C/1022/19 GAMI / GAM</w:t>
        <w:br/>
        <w:t>COMPETITION CHAMBER</w:t>
        <w:br/>
        <w:t>President</w:t>
        <w:br/>
        <w:t>Ms. María Ortiz Aguilar</w:t>
        <w:br/>
        <w:t>Counselors</w:t>
        <w:br/>
        <w:t>Mr. Josep María Guinart Solà</w:t>
        <w:br/>
        <w:t>Ms. Clotilde de la Higuera González</w:t>
        <w:br/>
        <w:t>Ms. María Pilar Canedo Arrillaga</w:t>
        <w:br/>
        <w:t>Secretary of the Council</w:t>
        <w:br/>
        <w:t>Mr. Joaquim Hortalà i Vallvé</w:t>
        <w:br/>
        <w:t>In Madrid, April 10, 2019</w:t>
        <w:br/>
        <w:t>The Competition Chamber has analyzed the merger file processed in accordance with Law 15/2007, of July 3, on the Defense of Competition, notification consisting of the acquisition of exclusive control by GESTORA DE ACTIVOS Y MAQUINARIA INDUSTRIAL, S.L.U., over GENERAL DE ALQUILER DE MAQUINARIA, S.A.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