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https://www.cnmc.es/expedientes/c102319</w:t>
      </w:r>
    </w:p>
    <w:p>
      <w:r>
        <w:t>Pages translated : 1</w:t>
      </w:r>
    </w:p>
    <w:p/>
    <w:p>
      <w:r>
        <w:rPr>
          <w:b/>
        </w:rPr>
        <w:t>[Pages 1–1]</w:t>
      </w:r>
    </w:p>
    <w:p>
      <w:r>
        <w:t>RESOLUTION</w:t>
        <w:br/>
        <w:t>File C/1023/19 WISHBONE / PALLADIAN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16, 2019</w:t>
        <w:br/>
        <w:t>The Competition Chamber has analyzed the merger file processed in accordance with Law 15/2007, of July 3, on the Defense of Competition, notification regarding the acquisition by WISHBONE ACQUISITION CORP. (WISHBONE) of exclusive control of PALLADIAN HOLDINGS, INC (PALLADIAN).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