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https://www.cnmc.es/expedientes/c102419</w:t>
      </w:r>
    </w:p>
    <w:p>
      <w:r>
        <w:t>Pages translated : 2</w:t>
      </w:r>
    </w:p>
    <w:p/>
    <w:p>
      <w:r>
        <w:rPr>
          <w:b/>
        </w:rPr>
        <w:t>[Pages 1–2]</w:t>
      </w:r>
    </w:p>
    <w:p>
      <w:r>
        <w:t>RESOLUTION</w:t>
        <w:br/>
        <w:t>File C/1024/19 BROADVIEW/FORMICA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April 30, 2019</w:t>
        <w:br/>
        <w:t>The Competition Chamber has analyzed the concentration file processed in accordance with Law 15/2007, of July 3, on the Defense of Competition, notification consisting of the acquisition by BROADVIEW HOLDING B.V. (hereinafter, BROADVIEW) of exclusive control over FORMICA HOLDINGS USA, INC. (hereinafter, FORMICA USA), FORMICA HOLDCO (UK) LIMITED (hereinafter, FORMICA UK) and FORMICA (ASIA) LIMITED (hereinafter, FORMICA ASIA), which together form FORMICA GROUP (hereinafter, FORMICA GROUP), which is currently owned by FLETCHER BUILDING HOLDINGS LIMITED (hereinafter, FLETCHER). In accordance with the report and proposal submitted by the Competition Directorate, the Competition Chamber has resolved, pursuant to Article 57.2.a) of the aforementioned Law 15/2007, of July 3, to authorize the aforementioned concentration operation.</w:t>
        <w:br/>
        <w:t>It is also necessary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does not consider necessary or accessory (i) the duration of the non-compete clause, in all that exceeds two years from the closing date, (ii) the holdings that do not imply the acquisition of control or a strong influence in competing companies of the Acquired Business, (iii) anything that implies imposing non-solicitation obligations on the Acquirer in relation to companies belonging to the Seller and (iv) any confidentiality restriction that exceeds two years from the closing date. To the extent that such restrictions are not considered accessory to the concentration operation, they are subject to the regulations on agreements between companies of Article 1 LDC. All of this in accordance with what is indicated in the aforementioned report proposal from the Competition Directorate.</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