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https://www.cnmc.es/expedientes/c102519</w:t>
      </w:r>
    </w:p>
    <w:p>
      <w:r>
        <w:t>Pages translated : 2</w:t>
      </w:r>
    </w:p>
    <w:p/>
    <w:p>
      <w:r>
        <w:rPr>
          <w:b/>
        </w:rPr>
        <w:t>[Pages 1–2]</w:t>
      </w:r>
    </w:p>
    <w:p>
      <w:r>
        <w:t>RESOLUTION</w:t>
        <w:br/>
        <w:t>File C/01025/19 ABAC SOLUTIONS/INICIATIVAS EMPRESARIALES/</w:t>
        <w:br/>
        <w:t>COMPAÑÍA ESPAÑOLA DE AISLAMIENTOS/LA INSTALADORA DE SISTEMAS</w:t>
        <w:br/>
        <w:t>Y AISLAMIENTOS/BRICUM</w:t>
        <w:br/>
        <w:t>COMPETITION CHAMBER</w:t>
        <w:br/>
        <w:t>President</w:t>
        <w:br/>
        <w:t>Mr. José María Marín Quemada</w:t>
        <w:br/>
        <w:t>Counselors</w:t>
        <w:br/>
        <w:t>Ms. María Ortiz Aguilar</w:t>
        <w:br/>
        <w:t>Mr. Josep María Guinart Solà</w:t>
        <w:br/>
        <w:t>Ms. Clotilde de la Higuera González</w:t>
        <w:br/>
        <w:t>Ms. María Pilar Canedo Arrillaga</w:t>
        <w:br/>
        <w:t>Secretary of the Council</w:t>
        <w:br/>
        <w:t>Mr. Joaquim Hortalà i Vallvé</w:t>
        <w:br/>
        <w:t>In Madrid, April 30, 2019</w:t>
        <w:br/>
        <w:t xml:space="preserve">The Competition Chamber has analyzed the concentration file processed in accordance with Law 15/2007, of July 3, on the Defense of Competition, notification consisting of the joint control acquisition of COMPAÑÍA ESPAÑOLA DE AISLAMIENTOS, S.A., LA INSTALADORA DE SISTEMAS Y AISLAMIENTOS, S.L. and BRICUM PROFESIONAL, S.L. by ABAC SOLUTIONS (SCA) SICAR (“ABAC SOLUTIONS”) and INICIATIVAS EMPRESARIALES SOSTENIBLES, S.L. (“INICIATIVAS EMPRESARIALES”). Previously, the target companies were exclusively controlled by INICIATIVAS EMPRESARIALES. According to the report and proposal submitted by the Competition Directorate, the Competition Chamber has resolved, in application of Article 57.2.a) of the aforementioned Law 15/2007, of July 3, to authorize the aforementioned concentration operation. </w:t>
        <w:br/>
        <w:t xml:space="preserve">Likewise, it is appropriate to analyze the operation taking into account the Communication from the European Commission on restrictions directly linked to the execution of a concentration and necessary for that purpose (2005/C 56/03) and the practice of national competition authorities. In this regard, this Chamber considers that the non-competition and non-solicitation agreements included in the investment agreement and in the partnership agreement, which impose restrictions on competition on one of the companies exercising control over the target companies, are not considered restrictions directly linked to the operation nor necessary for its execution, since these agreements would operate once the joint venture is concluded. For this reason, these agreements are not considered ancillary to the operation nor should they be understood as authorized with it. All of this in accordance with what is indicated in the aforementioned report proposal from the Competition Directorate. </w:t>
        <w:b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