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https://www.cnmc.es/expedientes/c102919</w:t>
      </w:r>
    </w:p>
    <w:p>
      <w:r>
        <w:t>Pages translated : 1</w:t>
      </w:r>
    </w:p>
    <w:p/>
    <w:p>
      <w:r>
        <w:rPr>
          <w:b/>
        </w:rPr>
        <w:t>[Pages 1–1]</w:t>
      </w:r>
    </w:p>
    <w:p>
      <w:r>
        <w:t>RESOLUTION</w:t>
        <w:br/>
        <w:t>File C/1029/19 PLATINUM EQUITY GROUP/GRUPO IBÉRICA DE CONGELADOS, S.A.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May 9, 2019</w:t>
      </w:r>
    </w:p>
    <w:p>
      <w:r>
        <w:t>The Competition Chamber has analyzed the concentration file processed in accordance with Law 15/2007, of July 3, on the Defense of Competition, notification in the acquisition by PLATINUM EQUITY GROUP (PLATINUM EQUITY) of exclusive control over GRUPO IBÉRICA DE CONGELADOS, S.A. (IBERCONSA). Prior to the operation, IBERCONSA was under the exclusive control of PORTOBELLO. According to the report and the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