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https://www.cnmc.es/expedientes/c103219</w:t>
      </w:r>
    </w:p>
    <w:p>
      <w:r>
        <w:t>Pages translated : 1</w:t>
      </w:r>
    </w:p>
    <w:p/>
    <w:p>
      <w:r>
        <w:rPr>
          <w:b/>
        </w:rPr>
        <w:t>[Pages 1–1]</w:t>
      </w:r>
    </w:p>
    <w:p>
      <w:r>
        <w:t>RESOLUTION</w:t>
        <w:br/>
        <w:t>File C/1032/19 KUWAIT PETROLEUM / SARAS RED</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June 11, 2019</w:t>
        <w:br/>
        <w:t xml:space="preserve">The Competition Chamber has analyzed the merger file processed in accordance with Law 15/2007, of July 3, on the Defense of Competition, notification consisting of the acquisition by KUWAIT PETROLEUM ESPAÑA, S.A. (KUWAIT PETROLEUM) of 100% of the share capital of SARAS RED, S.L. (SARAS), to which, previously, its parent company, SARAS ENERGÍA, S.A.U. (SARAS ENERGÍA) will have contributed the 77 service stations (EESS) that make up its retail distribution branch of fuels and combustibles. In accordance with the report and proposal submitted by the Directorate of Competition, the Competition Chamber has resolved, under the application of Article 57.2.a) of the aforementioned Law 15/2007, of July 3, to authorize the aforementioned merger operation. </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