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https://www.cnmc.es/expedientes/c103319</w:t>
      </w:r>
    </w:p>
    <w:p>
      <w:r>
        <w:t>Pages translated : 1</w:t>
      </w:r>
    </w:p>
    <w:p/>
    <w:p>
      <w:r>
        <w:rPr>
          <w:b/>
        </w:rPr>
        <w:t>[Pages 1–1]</w:t>
      </w:r>
    </w:p>
    <w:p>
      <w:r>
        <w:t>RESOLUTION</w:t>
        <w:br/>
        <w:t>File C/1033/19 TOTAL-HOUGHTON ASSETS</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The Competition Chamber has analyzed the concentration file processed in accordance with Law 15/2007, of July 3, on the Defense of Competition, notification consisting of the acquisition of exclusive control by Total Marketing Services, S.A. (TOTAL) of a certain number of assets belonging to Houghton (HOUGHTON ASSETS).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