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https://www.cnmc.es/expedientes/c103419</w:t>
      </w:r>
    </w:p>
    <w:p>
      <w:r>
        <w:t>Pages translated : 1</w:t>
      </w:r>
    </w:p>
    <w:p/>
    <w:p>
      <w:r>
        <w:rPr>
          <w:b/>
        </w:rPr>
        <w:t>[Pages 1–1]</w:t>
      </w:r>
    </w:p>
    <w:p>
      <w:r>
        <w:t>RESOLUTION</w:t>
        <w:br/>
        <w:t>File C/1034/19 EQT / IGENOMIX</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June 11, 2019</w:t>
        <w:br/>
        <w:t xml:space="preserve">The Competition Chamber has analyzed the merger file processed in accordance with Law 15/2007, of July 3, on the Defense of Competition, notification consisting of the acquisition of exclusive control of Igenomix, S.L. (IGENOMIX) by EQT AB (EQT), through EQT Fund Management S.à.r.l. The operation is carried out through the purchase of shares. Previously, the acquired entity was controlled by Charme Capital Partners SGR S.p.A. (CHARME), the managing entity of the Charme III fund. In accordance with the report and proposal submitted by the Competition Directorate, the Competition Chamber has resolved, applying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