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https://www.cnmc.es/expedientes/c103519</w:t>
      </w:r>
    </w:p>
    <w:p>
      <w:r>
        <w:t>Pages translated : 2</w:t>
      </w:r>
    </w:p>
    <w:p/>
    <w:p>
      <w:r>
        <w:rPr>
          <w:b/>
        </w:rPr>
        <w:t>[Pages 1–2]</w:t>
      </w:r>
    </w:p>
    <w:p>
      <w:r>
        <w:t>RESOLUTION</w:t>
        <w:br/>
        <w:t>File No. C/1035/19 CIRSA/GGSO</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30, 2019</w:t>
        <w:br/>
        <w:t>The Competition Chamber has analyzed the concentration file processed in accordance with Law 15/2007, of July 3, on the Defense of Competition, notification consisting of the acquisition of exclusive control by CIRSA GAMING CORPORATION, S.A.U. (CIRSA) of 100% of the share capital of GIGA GAME SYSTEM OPERATIONS, S.L.U. (GGSO). In accordance with the report and proposal submitted by the Competition Directorate, the Competition Chamber has resolved, in application of Article 57.2.b) of the aforementioned Law 15/2007, of July 3, to authorize the said concentration operation subject to the fulfillment of the commitments presented by the notifying party on July 18, 2019.</w:t>
        <w:br/>
        <w:t>Furthermore, it is appropriate to analyze the operation taking into account the Communication from the European Commission regarding restrictions directly linked to the execution of a concentration and necessary for that purpose (2005/C 56/03) and the practice of national competition authorities. In this regard, this Chamber considers that the confidentiality agreement can be considered directly linked to the execution of the concentration and necessary for that purpose. However, the non-compete agreements go beyond what would reasonably be necessary due to: (i) the inclusion of products not offered by the acquired entity (online games and betting), (ii) the restriction on competition outside the geographical area in which the acquired entity was located, (iii) the restriction on the possibility of holding non-controlling stakes in competing companies, thus being subject to the regulations applicable to agreements between companies that exceed that scope and geographical area. Regarding the non-solicitation clauses, those agreements that impose restrictions on the buyer go beyond what is reasonably necessary and are therefore subject to the general regulations applicable to agreements between companies. All of this in accordance with what is indicated in paragraph (28) of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