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https://www.cnmc.es/expedientes/c103619</w:t>
      </w:r>
    </w:p>
    <w:p>
      <w:r>
        <w:t>Pages translated : 1</w:t>
      </w:r>
    </w:p>
    <w:p/>
    <w:p>
      <w:r>
        <w:rPr>
          <w:b/>
        </w:rPr>
        <w:t>[Pages 1–1]</w:t>
      </w:r>
    </w:p>
    <w:p>
      <w:r>
        <w:t>RESOLUTION</w:t>
        <w:br/>
        <w:t>File C/1036/19 ACEK / NIU YUGANG / FORJAS IRAETA -ASSETS-</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June 11, 2019</w:t>
        <w:br/>
        <w:t xml:space="preserve">The Competition Chamber has analyzed the concentration file processed in accordance with Law 15/2007, of July 3, on the Defense of Competition, notification regarding the concentration operation consisting of the acquisition of joint control over the industrial business of FORJAS IRAETA HEAVY INDUSTRY, S.L. (hereinafter, FORJAS IRAETA) by ACEK DESARROLLO Y GESTIÓN INDUSTRIAL, S.L. (hereinafter, ACEK) and Mr. Niu Yugang, through IRAETA ENERGY EQUIPMENT TECHNOLOGY STOCK CO., LTD (hereinafter, IRAETA ENERGY). In accordance with the report and proposal submitted by the Competition Directorate, the Competition Chamber has resolved, under the application of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