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Spanish</w:t>
      </w:r>
    </w:p>
    <w:p>
      <w:r>
        <w:t>Source URL       : https://www.cnmc.es/expedientes/c103819</w:t>
      </w:r>
    </w:p>
    <w:p>
      <w:r>
        <w:t>Pages translated : 1</w:t>
      </w:r>
    </w:p>
    <w:p/>
    <w:p>
      <w:r>
        <w:rPr>
          <w:b/>
        </w:rPr>
        <w:t>[Pages 1–1]</w:t>
      </w:r>
    </w:p>
    <w:p>
      <w:r>
        <w:t>RESOLUTION</w:t>
        <w:br/>
        <w:t>File C/1038/19 ESSVP IV / NIDEC ASSETS</w:t>
        <w:br/>
        <w:t>COMPETITION CHAMBER</w:t>
        <w:br/>
        <w:t>President</w:t>
        <w:br/>
        <w:t>Mr. José María Marín Quemada</w:t>
        <w:br/>
        <w:t>Counselors</w:t>
        <w:br/>
        <w:t>Ms. María Ortiz Aguilar</w:t>
        <w:br/>
        <w:t>Ms. Clotilde de la Higuera González</w:t>
        <w:br/>
        <w:t>Ms. María Pilar Canedo Arrillaga</w:t>
        <w:br/>
        <w:t>Secretary of the Council</w:t>
        <w:br/>
        <w:t>Mr. Joaquim Hortalà i Vallvé</w:t>
        <w:br/>
        <w:t>In Madrid, June 11, 2019</w:t>
        <w:br/>
        <w:t>The Competition Chamber has analyzed the merger file processed in accordance with Law 15/2007, of July 3, on the Defense of Competition, notification regarding the merger operation consisting of the acquisition by the private equity fund ESSVP IV, through a vehicle company wholly owned by said private equity fund ZERFREE GmbH, of the refrigeration compressor business area of NIDEC CORPORATION. In accordance with the report and the proposal submitted by the Competition Directorate, the Competition Chamber has resolved, in application of Article 57.2.a) of the aforementioned Law 15/2007, of July 3, to authorize the aforementioned merger operation.</w:t>
        <w:br/>
        <w:t>This Resolution shall be communicated to the Competition Directorate of the National Commission on Markets and Competition and notified to the interested party, informing them that it concludes the administrative procedure and that a contentious-administrative appeal may be filed against it before the National Court, within two months from the day following its notification.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