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https://www.cnmc.es/expedientes/c104019</w:t>
      </w:r>
    </w:p>
    <w:p>
      <w:r>
        <w:t>Pages translated : 1</w:t>
      </w:r>
    </w:p>
    <w:p/>
    <w:p>
      <w:r>
        <w:rPr>
          <w:b/>
        </w:rPr>
        <w:t>[Pages 1–1]</w:t>
      </w:r>
    </w:p>
    <w:p>
      <w:r>
        <w:t>RESOLUTION</w:t>
        <w:br/>
        <w:t>File C/1040/19 IIF/EDPR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June 27, 2019</w:t>
        <w:br/>
        <w:t xml:space="preserve">The Competition Chamber has analyzed the concentration file processed in accordance with Law 15/2007, of July 3, on the Defense of Competition, notification consisting of the (indirect) acquisition of exclusive control by IIF Int’l Holding L.P. (IIF) over the companies EDP Renewables France SAS (EDPR France) and EDPR Participaciones, S.L. (EDPR Spain), through the acquisition of 51% of the share capital of the aforementioned companies, of which it already held 49%. In accordance with the report and proposal submitted by the Competition Directorate, the Competition Chamber has resolved, applying Article 57.2.a) of the aforementioned Law 15/2007, of July 3, to authorize the said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