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https://www.cnmc.es/expedientes/c104119</w:t>
      </w:r>
    </w:p>
    <w:p>
      <w:r>
        <w:t>Pages translated : 1</w:t>
      </w:r>
    </w:p>
    <w:p/>
    <w:p>
      <w:r>
        <w:rPr>
          <w:b/>
        </w:rPr>
        <w:t>[Pages 1–1]</w:t>
      </w:r>
    </w:p>
    <w:p>
      <w:r>
        <w:t>RESOLUTION</w:t>
        <w:br/>
        <w:t>File C/1041/19 PRIMEROSALUD/RIBERA SALUD</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June 11, 2019</w:t>
        <w:br/>
        <w:t xml:space="preserve">The Competition Chamber has analyzed the concentration file processed in accordance with Law 15/2007, of July 3, on the Defense of Competition, notification related to the concentration operation consisting of the acquisition by PrimeroSalud, S.L.U. (hereinafter, PRIMEROSALUD) of exclusive control of RIBERA SALUD, S.A. (hereinafter, RIBERA SALUD), over which it already had joint control.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