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https://www.cnmc.es/expedientes/c104319</w:t>
      </w:r>
    </w:p>
    <w:p>
      <w:r>
        <w:t>Pages translated : 2</w:t>
      </w:r>
    </w:p>
    <w:p/>
    <w:p>
      <w:r>
        <w:rPr>
          <w:b/>
        </w:rPr>
        <w:t>[Pages 1–2]</w:t>
      </w:r>
    </w:p>
    <w:p>
      <w:r>
        <w:t xml:space="preserve">RESOLUTION  </w:t>
        <w:br/>
        <w:t xml:space="preserve">File C/1043/19 AVANZA/GRUPO PESA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Ms. María Pilar Canedo Arrillaga  </w:t>
        <w:br/>
        <w:t xml:space="preserve">Deputy Secretary of the Council  </w:t>
        <w:br/>
        <w:t xml:space="preserve">Mr. Miguel Sánchez Blanco  </w:t>
        <w:br/>
        <w:t xml:space="preserve">In Madrid, July 4, 2019  </w:t>
        <w:br/>
        <w:t xml:space="preserve">The Competition Chamber has analyzed the concentration file processed in accordance with Law 15/2007, of July 3, on the Defense of Competition, notification consisting of the acquisition by AVANZA MOVILIDAD URBANA, S.L.U (“AVANZA”) of exclusive control of the PESA group, through the acquisition of shares in the share capital of its parent companies (TRANSPORTES INTERNACIONALES ADURNE, S.A., TRANSPORTES PESA, S.A. and PESA BIZKAIA, S.A.). In accordance with the report and proposal submitted by the Directorate of Competition, the Competition Chamber has resolved, applying Article 57.2.a) of the aforementioned Law 15/2007, of July 3, to authorize the aforementioned concentration operation.  </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both the material scope (insofar as it exceeds the services previously provided by the acquired group), as well as the geographical scope (insofar as it exceeds the markets in which the acquired group was providing each of the services) and the duration of the non-competition and non-solicitation agreements (insofar as it exceeds two years), as well as the objective scope of the non-solicitation clause (in relation to the individuals who had provided services in the year prior to the operation), go beyond what is reasonably required by the notified concentration operation, and are therefore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