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https://www.cnmc.es/expedientes/c104719</w:t>
      </w:r>
    </w:p>
    <w:p>
      <w:r>
        <w:t>Pages translated : 1</w:t>
      </w:r>
    </w:p>
    <w:p/>
    <w:p>
      <w:r>
        <w:rPr>
          <w:b/>
        </w:rPr>
        <w:t>[Pages 1–1]</w:t>
      </w:r>
    </w:p>
    <w:p>
      <w:r>
        <w:t>RESOLUTION</w:t>
        <w:br/>
        <w:t>File No. C/1047/19 NUFRI / INDULLEIDA</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July 11, 2019</w:t>
        <w:br/>
        <w:t xml:space="preserve">The Competition Chamber has analyzed the concentration file processed in accordance with Law 15/2007, of July 3, on the Defense of Competition, notification consisting of the acquisition by NUFRI, Sociedad Agraria de Transformación A.P.A, (“NUFRI” or “the Notifying Party”) of exclusive control of the INDULLEIDA Group (“INDULLEIDA”), dedicated to the production and commercialization of fruit concentrates and derivatives for subsequent use in the beverage and bottling industry, giving rise to the notification of file C/1047/19 of the CNMC. In accordance with the report and proposal submitted by the Directorate of Competition, the Competition Chamber has resolved, under the application of Article 57.2.a) of the aforementioned Law 15/2007, of July 3, to authorize the aforementioned concentration operation. </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