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https://www.cnmc.es/expedientes/c104819</w:t>
      </w:r>
    </w:p>
    <w:p>
      <w:r>
        <w:t>Pages translated : 1</w:t>
      </w:r>
    </w:p>
    <w:p/>
    <w:p>
      <w:r>
        <w:rPr>
          <w:b/>
        </w:rPr>
        <w:t>[Pages 1–1]</w:t>
      </w:r>
    </w:p>
    <w:p>
      <w:r>
        <w:t>RESOLUTION</w:t>
        <w:br/>
        <w:t>File No. C/1048/19 CHIESI FRAMACEUTICI/SANTHERA PHARMACEUTICALS</w:t>
        <w:br/>
        <w:t>COMPETITION CHAMBER</w:t>
        <w:br/>
        <w:t>President</w:t>
        <w:br/>
        <w:t>Mr. José María Marín Quemada</w:t>
        <w:br/>
        <w:t>Counselors</w:t>
        <w:br/>
        <w:t>Ms. María Ortiz Aguilar</w:t>
        <w:br/>
        <w:t>Mr. Josep María Guinart Solà</w:t>
        <w:br/>
        <w:t>Ms. Clotilde de la Higuera González</w:t>
        <w:br/>
        <w:t>Ms. María Pilar Canedo Arrillaga</w:t>
        <w:br/>
        <w:t>Deputy Secretary of the Council</w:t>
        <w:br/>
        <w:t>Mr. Miguel Sánchez Blanco</w:t>
        <w:br/>
        <w:t>In Madrid, July 4, 2019</w:t>
        <w:br/>
        <w:t>The Competition Chamber has analyzed the merger file processed in accordance with Law 15/2007, of July 3, on the Defense of Competition, notification consisting of the acquisition by the company CHIESI FRAMACEUTICI S.P.A. (CHIESI) of the product rights, intellectual property, and exclusive distribution of the drug Raxone, owned by SANTHERA PHARMACEUTICALS HOLDING, Ltd. (SANTHERA), as well as the establishment of two alternative purchase options for the acquisition of other parts of the Raxone business, exercisable by the Notifying Party under certain conditions. In accordance with the report and proposal submitted by the Directorate of Competition, the Competition Chamber has resolved, pursuant to Article 57.2.a) of the aforementioned Law 15/2007, of July 3, to authorize the aforementioned merger operation.</w:t>
        <w:br/>
        <w:t>This Resolution shall be communicated to the Directorate of Competition of the National Commission on Markets and Competition and notified to the interested party, informing them that this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