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https://www.cnmc.es/expedientes/c104919</w:t>
      </w:r>
    </w:p>
    <w:p>
      <w:r>
        <w:t>Pages translated : 2</w:t>
      </w:r>
    </w:p>
    <w:p/>
    <w:p>
      <w:r>
        <w:rPr>
          <w:b/>
        </w:rPr>
        <w:t>[Pages 1–2]</w:t>
      </w:r>
    </w:p>
    <w:p>
      <w:r>
        <w:t>RESOLUTION</w:t>
        <w:br/>
        <w:t>File No. C/01049/19 ADVENT/VITALDENT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25, 2019</w:t>
        <w:br/>
        <w:t>The Competition Chamber has analyzed the concentration file processed in accordance with Law 15/2007, of July 3, on the Defense of Competition, notification consisting of the acquisition of exclusive control of INVERSIONES ODONTOLÓGICAS 2016, S.L., and all companies controlled by this company (VITALDENT) by ADVENT INTERNATIONAL CORPORATION (ADVENT) through the vehicle company GLOBAL MANITOBA, S.L.U. In accordance with the report and the proposal submitted by the Directorate of Competition, the Competition Chamber has resolved, in application of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non-compete clauses and the non-solicitation agreement do not go beyond what is reasonably required by the concentration operation, and therefore can be considered as ancillary restrictions to the operation.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