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https://www.cnmc.es/expedientes/c105019</w:t>
      </w:r>
    </w:p>
    <w:p>
      <w:r>
        <w:t>Pages translated : 2</w:t>
      </w:r>
    </w:p>
    <w:p/>
    <w:p>
      <w:r>
        <w:rPr>
          <w:b/>
        </w:rPr>
        <w:t>[Pages 1–2]</w:t>
      </w:r>
    </w:p>
    <w:p>
      <w:r>
        <w:t>RESOLUTION</w:t>
        <w:br/>
        <w:t>File No. C/01050/19 KORIAN/PICAFORT/GERIÁTRICO MANACOR</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July 18, 2019</w:t>
        <w:br/>
        <w:t>The Competition Chamber has analyzed the merger file processed in accordance with Law 15/2007, of July 3, on the Defense of Competition, notification consisting of the acquisition by KORIAN RESIDENCIAS SPAIN 2018, S.L. (“KORIAN”) of exclusive control of GRUPO 5 PICAFORT, S.A.U. (“PICAFORT”) and GERIÁTRICO MANACOR, S.A.U, through the acquisition of 100% of their respective share capitals. In accordance with the report and the proposal submitted by the Directorate of Competition, the Competition Chamber has resolved, applying Article 57.2.a) of the aforementioned Law 15/2007, of July 3, to authorize the aforementioned merger operation.</w:t>
        <w:br/>
        <w:t>Likewise, it is appropriate to analyze the operation taking into account the Communication from the European Commission on restrictions directly linked to the execution of a merger and necessary for that purpose (2005/C 56/03) and the practice of national competition authorities. In this regard, this Chamber considers that the objective scope of the non-solicitation clause, concerning the employees or executives of the buyer, goes beyond what is reasonably required by the notified merger operation, and therefore will be subject to the general regulations applicable to agreements between companies. All of this in accordance with what is indicated in the aforementioned report proposal from the Directorate of Competition.</w:t>
      </w:r>
    </w:p>
    <w:p>
      <w: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