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https://www.cnmc.es/expedientes/c105119</w:t>
      </w:r>
    </w:p>
    <w:p>
      <w:r>
        <w:t>Pages translated : 2</w:t>
      </w:r>
    </w:p>
    <w:p/>
    <w:p>
      <w:r>
        <w:rPr>
          <w:b/>
        </w:rPr>
        <w:t>[Pages 1–2]</w:t>
      </w:r>
    </w:p>
    <w:p>
      <w:r>
        <w:t>RESOLUTION</w:t>
        <w:br/>
        <w:t>Case File C/1051/19 SONAE CAPITAL-FUTURA</w:t>
        <w:br/>
        <w:t>COMPETITION CHAMBER</w:t>
        <w:br/>
        <w:t>President</w:t>
        <w:br/>
        <w:t>Mr. José María Marín Quemada</w:t>
        <w:br/>
        <w:t>Counselors</w:t>
        <w:br/>
        <w:t>Ms. María Ortiz Aguilar</w:t>
        <w:br/>
        <w:t>Mr. Josep María Guinart Solà</w:t>
        <w:br/>
        <w:t>Ms. Clotilde de la Higuera González</w:t>
        <w:br/>
        <w:t>Ms. María Pilar Canedo Arrillaga</w:t>
        <w:br/>
        <w:t>Secretary of the Council</w:t>
        <w:br/>
        <w:t>Mr. Joaquim Hortalà i Vallvé</w:t>
        <w:br/>
        <w:t>In Madrid, July 25, 2019</w:t>
        <w:br/>
        <w:t>The Competition Chamber has analyzed the merger file processed in accordance with Law 15/2007, of July 3, on the Defense of Competition, notification consisting of the acquisition of exclusive control by SONAE CAPITAL S.G.P.S. (SONAE) over the company FUTURA ENERGÍA INVERSIONES, S.L. (FUTURA), through the acquisition of 100% of the share capital of the said company via CAPWATT SGPS, S.A. (CAPWATT).</w:t>
        <w:br/>
        <w:t>The parties have committed through a binding agreement dated July 15, 2019, to materialize the transaction in accordance with the final versions agreed upon and submitted in the notification of the Share Purchase and Shareholder Loan Assignment Agreement. According to the report and proposal submitted by the Competition Directorate, the Competition Chamber has resolved, applying Article 57.2.a) of the aforementioned Law 15/2007, of July 3, to authorize the said concentration operation.</w:t>
        <w:br/>
        <w:t>Furthermore, it is necessary to analyze the operation taking into account the Communication from the European Commission regarding restrictions directly linked to the execution of a concentration and necessary for that purpose (2005/C 56/03) and the practice of national competition authorities. In this regard, this Chamber does not consider the non-compete clause necessary or accessory, insofar as it implies (i) exceeding the three-year period established by the aforementioned Communication, (ii) protecting the Buyer from competition from the Sellers in those markets of products or services in which FUTURA did not operate prior to the transfer, or (iii) restricting acquisitions from the Sellers that are made for purely financial investment purposes and do not confer management functions or decisive influence over the acquired company or assets.</w:t>
        <w:br/>
        <w:t>Likewise, the Chamber also does not consider the service provision agreement necessary or accessory, regarding all services (i) provided by individuals or legal entities that do not have the status of Sellers in this operation and (ii) that were not provided by the Sellers to FUTURA prior to the operation. Consequently, the referred aspects of such clauses will be subject to the general regulations applicable to agreements between companies.</w:t>
        <w:br/>
        <w:t>All of this in accordance with what is indicated in the aforementioned report proposal from the Competition Directorate.</w:t>
        <w:br/>
        <w:t>This Resolution shall be communicated to the Competition Directorate of the National Commission on Markets and Competition and notified to the interested party, informing them that it concludes the administrative procedure and that a contentious-administrative appeal may be filed against it before the National Court, within two months from the day following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