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https://www.cnmc.es/expedientes/c105319</w:t>
      </w:r>
    </w:p>
    <w:p>
      <w:r>
        <w:t>Pages translated : 2</w:t>
      </w:r>
    </w:p>
    <w:p/>
    <w:p>
      <w:r>
        <w:rPr>
          <w:b/>
        </w:rPr>
        <w:t>[Pages 1–2]</w:t>
      </w:r>
    </w:p>
    <w:p>
      <w:r>
        <w:t>RESOLUTION</w:t>
        <w:br/>
        <w:t>File No. C/1053/19 BOSTON SCIENTIFIC CORP-BTG</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25, 2019</w:t>
        <w:br/>
        <w:t>The Competition Chamber has analyzed the merger file processed in accordance with Law 15/2007, of July 3, on the Defense of Competition, notification consisting of the acquisition by BOSTON SCIENTIFIC CORPORATION (hereinafter BSC), through its subsidiary Bravo Bidco Limited, of indirect exclusive control over BTG. In accordance with the report and proposal submitted by the Competition Directorate, the Competition Chamber has resolved, in application of Article 57.2.a) of the aforementioned Law 15/2007, of July 3, to authorize the aforementioned merger operation.</w:t>
        <w:br/>
        <w:t>This authorization would be subject to the execution of the divestment commitments initially approved by the FTC under the terms established by the contract signed by BSC and VARIAN on July 1, 2019, submitted along with the other documentation included in the notification of this operation (or, in the event of a hypothetical introduction of modifications by the FTC Commission, that such modifications do not affect the scope and content of the divestment package included therein).</w:t>
        <w:br/>
        <w:t>Therefore, the parties are required to submit to the CNMC the final version of the package of commitments finally approved by the FTC Commission within a maximum period of ten days.</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