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https://www.cnmc.es/expedientes/c105419</w:t>
      </w:r>
    </w:p>
    <w:p>
      <w:r>
        <w:t>Pages translated : 2</w:t>
      </w:r>
    </w:p>
    <w:p/>
    <w:p>
      <w:r>
        <w:rPr>
          <w:b/>
        </w:rPr>
        <w:t>[Pages 1–2]</w:t>
      </w:r>
    </w:p>
    <w:p>
      <w:r>
        <w:t>RESOLUTION</w:t>
        <w:br/>
        <w:t>CASE FILE C/1054/19 COFARES / COFARTA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November 21, 2019</w:t>
        <w:br/>
        <w:t>The Competition Chamber has analyzed the concentration case file processed in accordance with Law 15/2007, of July 3, on the Defense of Competition, notification consisting of the acquisition by COFARES COMERCIALIZADORA FARMACÉUTICA, S.L.U of CENTRO COOPERATIVO FARMACÉUTICO TALAVERANO, SOCIEDAD COOPERATIVA DE CASTILLA LA MANCHA of its pharmaceutical distribution business and activity, through the acquisition of exclusive control of its newly created subsidiary named COFARTA COMERCIALIZADORA FARMACÉUTICA, S.L.U. According to the report and proposal submitted by the Directorate of Competition, the Competition Chamber has resolved, in application of Article 57.2.a) of the aforementioned Law 15/2007, of July 3, to authorize the aforementioned concentration operation subject to the fulfillment of the commitments presented by the notifier on October 29, 2019.</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Collaboration Agreement between COFARES COOPERATIVA and COFARTA COOPERATIVA cannot be considered directly linked to the operation nor necessary for that purpose, since it does not seek to guarantee the continuity of supply or of the buyer following a breakdown of sales channels caused by this transaction, having been signed by the parties in December 2015 and therefore being in force for more than 4 years as of the formalization of this operation. For all these reasons, said agreement is fully subject to the regulations on agreements between companies in Article 1 of the LDC.</w:t>
      </w:r>
    </w:p>
    <w:p>
      <w:r>
        <w:t>Furthermore, it should be noted that clauses five and twelve of the aforementioned AC establish exclusive purchase obligations by COFARTA COOPERATIVA with respect to COFARES COOPERATIVA, applying this obligation to all types of products and manufacturers/laboratories for unlimited quantities, which could be subject to a more thorough analysis by the Directorate of Competition, in order to analyze the content of these clauses from the perspective of Article 1 of the LDC.</w:t>
        <w:br/>
        <w:t>Finally, this Chamber considers that […] proposed by COFARES COOPERATIVA as an Independent Third Party, meets the independence requirements to carry out the functions attributed to it and included in the sixth commitment of this Proposal Report, although the mandate and remuneration scheme of the Independent Third Party must be provided.</w:t>
        <w:br/>
        <w:t>All of this in accordance with what is indicated in the aforementioned proposal report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