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https://www.cnmc.es/expedientes/c105519</w:t>
      </w:r>
    </w:p>
    <w:p>
      <w:r>
        <w:t>Pages translated : 2</w:t>
      </w:r>
    </w:p>
    <w:p/>
    <w:p>
      <w:r>
        <w:rPr>
          <w:b/>
        </w:rPr>
        <w:t>[Pages 1–2]</w:t>
      </w:r>
    </w:p>
    <w:p>
      <w:r>
        <w:t>RESOLUTION</w:t>
        <w:br/>
        <w:t>CASE FILE C/1055/19 1055/19 MSM GROUP/SANTA BÁRBARA SISTEMAS –</w:t>
        <w:br/>
        <w:t>ASSETS -</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10, 2019</w:t>
        <w:br/>
        <w:t>The Competition Chamber has analyzed the concentration case file processed in accordance with Law 15/2007, of July 3, on the Defense of Competition, notification consisting of the acquisition of exclusive control by MSM GROUP, S.R.O. of one of the business branches of SANTA BÁRBARA SISTEMAS, S.A.U., specifically, the activities and facilities of El Fargue (Granada), having been constituted to execute the operation the newly created company FÁBRICA DE MUNICIONES DE GRANADA, S.L.U., to which it will transfer said business and of which MSM GROUP, S.R.O. will acquire 100% of the shares. In accordance with the report and proposal submitted by the Directorate of Competition, the Competition Chamber has resolved, applying Article 57.2.a) of the aforementioned Law 15/2007, of July 3, to authorize the aforementioned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the supply obligation contained in Clause thirteenth section six (13.6) of the AM, relating to the provision of transitional services, in all that exceeds in terms of its content and maximum duration what is established in the aforementioned Communication, will not be considered necessary or accessory to the operation. Therefore, it will be subject to the general regulations applicable to agreements between companies.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