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https://www.cnmc.es/expedientes/c105719</w:t>
      </w:r>
    </w:p>
    <w:p>
      <w:r>
        <w:t>Pages translated : 1</w:t>
      </w:r>
    </w:p>
    <w:p/>
    <w:p>
      <w:r>
        <w:rPr>
          <w:b/>
        </w:rPr>
        <w:t>[Pages 1–1]</w:t>
      </w:r>
    </w:p>
    <w:p>
      <w:r>
        <w:t>RESOLUTION</w:t>
        <w:br/>
        <w:t>CASE FILE C/1057/19 UVESCO/SIMPLY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19, 2019</w:t>
        <w:br/>
        <w:t xml:space="preserve">The Competition Chamber has analyzed the merger case file processed in accordance with Law 15/2007, of July 3, on the Defense of Competition, notification consisting of the acquisition of exclusive control of the assets linked to the operation of 11 retail distribution establishments of daily consumer goods of the AUCHAN group, which operate under the Simply brand (SIMPLY assets) by UVESCO, S.A. In accordance with the report and the proposal submitted by the Directorate of Competition, the Competition Chamber has resolved, applying Article 57.2.a) of the aforementioned Law 15/2007, of July 3, to authorize the aforementioned merger operation. </w:t>
        <w:br/>
        <w:t>This Resolution shall be communicated to the Directorate of Competition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