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https://www.cnmc.es/expedientes/c105819</w:t>
      </w:r>
    </w:p>
    <w:p>
      <w:r>
        <w:t>Pages translated : 2</w:t>
      </w:r>
    </w:p>
    <w:p/>
    <w:p>
      <w:r>
        <w:rPr>
          <w:b/>
        </w:rPr>
        <w:t>[Pages 1–2]</w:t>
      </w:r>
    </w:p>
    <w:p>
      <w:r>
        <w:t>RESOLUTION</w:t>
        <w:br/>
        <w:t>File No. C/1058/19 ADVENT / ICE</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10, 2019</w:t>
        <w:br/>
        <w:t>The Competition Chamber has analyzed the concentration file processed in accordance with Law 15/2007, of July 3, on the Defense of Competition, notification consisting of the acquisition of exclusive control of Industria Chimica Emiliana S.p.A. by Advent International Corporation, through a vehicle company named AI Ice Acquisition S.r.l. In accordance with the report and proposal submitted by the Competition Directorate, the Competition Chamber has resolved, applying Article 57.2.a) of the aforementioned Law 15/2007, of July 3, to authorize the said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content of the non-compete clause, in all that exceeds the activity and territory in which ICE was present, as well as any restriction that prevents the holding or acquisition of shares for purely financial investment purposes that do not confer directly or indirectly management functions or substantial influence in the competing company, goes beyond what is reasonable for the achievement of the operation, and would not be considered either necessary or ancillary. Consequently, it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