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https://www.cnmc.es/expedientes/c106219</w:t>
      </w:r>
    </w:p>
    <w:p>
      <w:r>
        <w:t>Pages translated : 2</w:t>
      </w:r>
    </w:p>
    <w:p/>
    <w:p>
      <w:r>
        <w:rPr>
          <w:b/>
        </w:rPr>
        <w:t>[Pages 1–2]</w:t>
      </w:r>
    </w:p>
    <w:p>
      <w:r>
        <w:t>RESOLUTION</w:t>
        <w:br/>
        <w:t>CASE FILE C/1062/19 VINCI ENERGIES/SISTEM MELESUR ENERGÍA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19, 2019</w:t>
        <w:br/>
        <w:t xml:space="preserve">The Competition Chamber has analyzed the concentration case file processed in accordance with Law 15/2007, of July 3, on the Defense of Competition, notification in the acquisition by VINCI ENERGIES ESPAÑA, S.A.U. (VINCI), of exclusive control of SISTEM MELESUR ENERGÍA, S.A.U. and SISTEM INFRAESTRUCTURAS Y OPERACIONES EPC, S.L.U., through the acquisition of 75% of their share capital, currently owned by SOLAR LIGHTNING S.L. In accordance with the report and proposal submitted by the Directorate of Competition, the Competition Chamber has resolved, applying Article 57.2.a) of the aforementioned Law 15/2007, of July 3, to authorize the aforementioned concentration operation. </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any limitation of the non-compete and non-solicitation clause that exceeds the geographical scope in which the transferred business was present, as well as any excess in the duration of the non-compete and non-solicitation clauses and confidentiality of the two damages established in the aforementioned Communication, given that both parties to the operation were active in the same markets prior to the operation, are not considered necessary or ancillary to the operation, and therefore remain subject to the general regulations applicable to agreements between companies under Article 1 LDC.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