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https://www.cnmc.es/expedientes/c106319</w:t>
      </w:r>
    </w:p>
    <w:p>
      <w:r>
        <w:t>Pages translated : 2</w:t>
      </w:r>
    </w:p>
    <w:p/>
    <w:p>
      <w:r>
        <w:rPr>
          <w:b/>
        </w:rPr>
        <w:t>[Pages 1–2]</w:t>
      </w:r>
    </w:p>
    <w:p>
      <w:r>
        <w:t>RESOLUTION</w:t>
        <w:br/>
        <w:t>CASE FILE C/1063/19 PROA CAPITAL/GRUPO GALLO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19, 2019</w:t>
        <w:br/>
        <w:t>The Competition Chamber has analyzed the concentration case file processed in accordance with Law 15/2007, of July 3, on the Defense of Competition, notification regarding the acquisition of exclusive control over PRODUCTOS ALIMENTICIOS GALLO, S.L. (hereinafter, GRUPO GALLO) by PROA CAPITAL DE INVERSIONES S.G.E.I.C., S.A. (hereinafter, PROA CAPITAL) through its subsidiary company IPA CAPITAL, S.L.U. The operation is structured through the Share Purchase Agreement of the Company Productos Alimenticios Gallo, S.L. (hereinafter, CCP) by which PROA CAPITAL acquires 100% of the shares of GRUPO GALLO from its current owners for a total purchase price of 229 million euros. In accordance with the report and proposal submitted by the Directorate of Competition, the Competition Chamber has resolved, under the application of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neither (i) any limitation on competition that exceeds the geographical scope in which the transferred business was present, (ii) the holding of shares for exclusively financial investment purposes, nor (iii) any confidentiality restriction of the Seller regarding the transferred business that exceeds three years from the closing date is necessary or ancillary. Consequently, such aspects are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