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https://www.cnmc.es/expedientes/c106419</w:t>
      </w:r>
    </w:p>
    <w:p>
      <w:r>
        <w:t>Pages translated : 2</w:t>
      </w:r>
    </w:p>
    <w:p/>
    <w:p>
      <w:r>
        <w:rPr>
          <w:b/>
        </w:rPr>
        <w:t>[Pages 1–2]</w:t>
      </w:r>
    </w:p>
    <w:p>
      <w:r>
        <w:t>RESOLUTION</w:t>
        <w:br/>
        <w:t>CASE FILE C/1064/19 CIRSA/SPORTIUM</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October 1, 2019</w:t>
        <w:br/>
        <w:t>The Competition Chamber has analyzed the concentration case file processed in accordance with Law 15/2007, of July 3, on the Defense of Competition, notification consisting of the acquisition by CIRSA GAMING CORPORATION, S.A.U. (CIRSA), of exclusive control of SPORTIUM APUESTAS DEPORTIVAS, S.A (SPORTIUM). In accordance with the report and proposal submitted by the Competition Directorate, the Competition Chamber has resolved, pursuant to Article 57.2.a) of the aforementioned Law 15/2007, of July 3, to authorize the said concentration operation.</w:t>
        <w:br/>
        <w:t>Furthermore, it is necessary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the data supply agreement regarding Spain cannot be considered as an ancillary or necessary restriction for the operation. On the other hand, the buyer's commitment to refrain from hiring the seller's personnel is considered an agreement between potential competitors. Consequently, such aspects are subject to the regulations on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